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Pre-Course Diagnostic Assessment</w:t>
      </w:r>
    </w:p>
    <w:p>
      <w:r>
        <w:rPr>
          <w:i/>
          <w:color w:val="646464"/>
          <w:sz w:val="20"/>
        </w:rPr>
        <w:t>All 5 IC&amp;RC Performance Domains</w:t>
      </w:r>
    </w:p>
    <w:p>
      <w:r>
        <w:t>20 Questions | 25 minutes | Circle the BEST answer.</w:t>
      </w:r>
    </w:p>
    <w:p>
      <w:r>
        <w:rPr>
          <w:color w:val="B4B4B4"/>
        </w:rPr>
        <w:t>────────────────────────────────────────────────────────────</w:t>
      </w:r>
    </w:p>
    <w:p>
      <w:r>
        <w:t>## Advocacy (Items 1–4)</w:t>
      </w:r>
    </w:p>
    <w:p>
      <w:r>
        <w:rPr>
          <w:b/>
        </w:rPr>
        <w:t xml:space="preserve">1. </w:t>
      </w:r>
      <w:r>
        <w:t>According to peer recovery standards, what is required when teaching self-advocacy skills to individuals in recovery?</w:t>
      </w:r>
    </w:p>
    <w:p>
      <w:pPr>
        <w:ind w:left="720"/>
      </w:pPr>
      <w:r>
        <w:t>A) Focus exclusively on individual rights without considering system constraints</w:t>
      </w:r>
    </w:p>
    <w:p>
      <w:pPr>
        <w:ind w:left="720"/>
      </w:pPr>
      <w:r>
        <w:t>B) Emphasize compliance with treatment recommendations over personal preferences</w:t>
      </w:r>
    </w:p>
    <w:p>
      <w:pPr>
        <w:ind w:left="720"/>
      </w:pPr>
      <w:r>
        <w:t>C) Include education about rights, resources, and effective communication strategies</w:t>
      </w:r>
    </w:p>
    <w:p>
      <w:pPr>
        <w:ind w:left="720"/>
      </w:pPr>
      <w:r>
        <w:t>D) Limit instruction to formal grievance procedures and legal remedies</w:t>
      </w:r>
    </w:p>
    <w:p>
      <w:r>
        <w:rPr>
          <w:b/>
        </w:rPr>
        <w:t xml:space="preserve">2. </w:t>
      </w:r>
      <w:r>
        <w:t>How can a person with the CRSS credential address misinformation?</w:t>
      </w:r>
    </w:p>
    <w:p>
      <w:pPr>
        <w:ind w:left="720"/>
      </w:pPr>
      <w:r>
        <w:t>A) Connect individual with expert Benefits Counselor.</w:t>
      </w:r>
    </w:p>
    <w:p>
      <w:pPr>
        <w:ind w:left="720"/>
      </w:pPr>
      <w:r>
        <w:t>B) Correct the misinformation directly using the CRSS's own knowledge and research.</w:t>
      </w:r>
    </w:p>
    <w:p>
      <w:pPr>
        <w:ind w:left="720"/>
      </w:pPr>
      <w:r>
        <w:t>C) Ignore the misinformation because individuals will learn the truth over time.</w:t>
      </w:r>
    </w:p>
    <w:p>
      <w:pPr>
        <w:ind w:left="720"/>
      </w:pPr>
      <w:r>
        <w:t>D) Report the source of misinformation to the individual's treatment team.</w:t>
      </w:r>
    </w:p>
    <w:p>
      <w:r>
        <w:rPr>
          <w:b/>
        </w:rPr>
        <w:t xml:space="preserve">3. </w:t>
      </w:r>
      <w:r>
        <w:t>You accompany an individual to a benefits appointment where the caseworker speaks quickly, uses jargon, and seems impatient. The individual looks confused. What should you do?</w:t>
      </w:r>
    </w:p>
    <w:p>
      <w:pPr>
        <w:ind w:left="720"/>
      </w:pPr>
      <w:r>
        <w:t>A) Wait until after the appointment and explain what happened, which addresses the immediate concern directly.</w:t>
      </w:r>
    </w:p>
    <w:p>
      <w:pPr>
        <w:ind w:left="720"/>
      </w:pPr>
      <w:r>
        <w:t>B) Take over the conversation and answer questions for the individual, which addresses the immediate concern directly.</w:t>
      </w:r>
    </w:p>
    <w:p>
      <w:pPr>
        <w:ind w:left="720"/>
      </w:pPr>
      <w:r>
        <w:t>C) Tell the individual they should request a different caseworker, which addresses the immediate concern directly.</w:t>
      </w:r>
    </w:p>
    <w:p>
      <w:pPr>
        <w:ind w:left="720"/>
      </w:pPr>
      <w:r>
        <w:t>D) Politely ask the caseworker to slow down and clarify, then check with the individual to see if they have questions</w:t>
      </w:r>
    </w:p>
    <w:p>
      <w:r>
        <w:rPr>
          <w:b/>
        </w:rPr>
        <w:t xml:space="preserve">4. </w:t>
      </w:r>
      <w:r>
        <w:t>An individual on MOUD wants their CRSS to speak about the value of medication-assisted recovery at an agency staff meeting. This request draws on:</w:t>
      </w:r>
    </w:p>
    <w:p>
      <w:pPr>
        <w:ind w:left="720"/>
      </w:pPr>
      <w:r>
        <w:t>A) Only Harm Reduction knowledge, as measured by standardized clinical assessment instruments administered by qualified professionals.</w:t>
      </w:r>
    </w:p>
    <w:p>
      <w:pPr>
        <w:ind w:left="720"/>
      </w:pPr>
      <w:r>
        <w:t>B) Advocacy (speaking up for the individual's pathway), Professional Responsibility (appropriate scope), and Recovery Support (harm reduction integration)</w:t>
      </w:r>
    </w:p>
    <w:p>
      <w:pPr>
        <w:ind w:left="720"/>
      </w:pPr>
      <w:r>
        <w:t>C) Only the CRSS's personal opinion about MOUD, which is sometimes confused with the correct answer but describes a fundamentally different concept.</w:t>
      </w:r>
    </w:p>
    <w:p>
      <w:pPr>
        <w:ind w:left="720"/>
      </w:pPr>
      <w:r>
        <w:t>D) Mentoring skills for group presentation, which is sometimes confused with the correct answer but describes a fundamentally different concept.</w:t>
      </w:r>
    </w:p>
    <w:p>
      <w:r>
        <w:t>## Ethical Responsibility (Items 5–8)</w:t>
      </w:r>
    </w:p>
    <w:p>
      <w:r>
        <w:rPr>
          <w:b/>
        </w:rPr>
        <w:t xml:space="preserve">5. </w:t>
      </w:r>
      <w:r>
        <w:t>What are some questions CRSS Professionals ask to help utilize spirituality in recovery?</w:t>
      </w:r>
    </w:p>
    <w:p>
      <w:pPr>
        <w:ind w:left="720"/>
      </w:pPr>
      <w:r>
        <w:t>A) What medications are you currently taking? What side effects have you noticed?, including adjustments to dosage and monitoring for potential side effects or interactions.</w:t>
      </w:r>
    </w:p>
    <w:p>
      <w:pPr>
        <w:ind w:left="720"/>
      </w:pPr>
      <w:r>
        <w:t>B) What is your diagnosis? How long have you been receiving treatment?, which falls within the scope of licensed clinical professionals rather than peer support staff.</w:t>
      </w:r>
    </w:p>
    <w:p>
      <w:pPr>
        <w:ind w:left="720"/>
      </w:pPr>
      <w:r>
        <w:t>C) What clinical treatments have been most effective for you in the past?, which falls within the scope of licensed clinical professionals rather than peer support staff.</w:t>
      </w:r>
    </w:p>
    <w:p>
      <w:pPr>
        <w:ind w:left="720"/>
      </w:pPr>
      <w:r>
        <w:t>D) What matters most in life? What keeps you going? What values do you live by? What guidelines of conduct do you follow? How do you experience community and belonging?</w:t>
      </w:r>
    </w:p>
    <w:p>
      <w:r>
        <w:rPr>
          <w:b/>
        </w:rPr>
        <w:t xml:space="preserve">6. </w:t>
      </w:r>
      <w:r>
        <w:t>What is the goal of person centered language?</w:t>
      </w:r>
    </w:p>
    <w:p>
      <w:pPr>
        <w:ind w:left="720"/>
      </w:pPr>
      <w:r>
        <w:t>A) This should only be addressed once symptoms have been adequately managed, not as a routine part of peer support.</w:t>
      </w:r>
    </w:p>
    <w:p>
      <w:pPr>
        <w:ind w:left="720"/>
      </w:pPr>
      <w:r>
        <w:t>B) To change attitudes and practices.</w:t>
      </w:r>
    </w:p>
    <w:p>
      <w:pPr>
        <w:ind w:left="720"/>
      </w:pPr>
      <w:r>
        <w:t>C) To eliminate all references to mental health conditions in professional settings.</w:t>
      </w:r>
    </w:p>
    <w:p>
      <w:pPr>
        <w:ind w:left="720"/>
      </w:pPr>
      <w:r>
        <w:t>D) To simplify documentation by using diagnostic codes instead of descriptive language.</w:t>
      </w:r>
    </w:p>
    <w:p>
      <w:r>
        <w:rPr>
          <w:b/>
        </w:rPr>
        <w:t xml:space="preserve">7. </w:t>
      </w:r>
      <w:r>
        <w:t>After a peer support session, you need to document the interaction. The individual discussed relationship problems, financial stress, and expressed frustration with their treatment. What should you include?</w:t>
      </w:r>
    </w:p>
    <w:p>
      <w:pPr>
        <w:ind w:left="720"/>
      </w:pPr>
      <w:r>
        <w:t>A) A detailed account of every personal problem they mentioned, including names of people involved</w:t>
      </w:r>
    </w:p>
    <w:p>
      <w:pPr>
        <w:ind w:left="720"/>
      </w:pPr>
      <w:r>
        <w:t>B) Your personal assessment of whether the individual is making poor life choices</w:t>
      </w:r>
    </w:p>
    <w:p>
      <w:pPr>
        <w:ind w:left="720"/>
      </w:pPr>
      <w:r>
        <w:t>C) A concise, objective summary focused on recovery-related themes discussed, goals addressed, and any follow-up actions planned</w:t>
      </w:r>
    </w:p>
    <w:p>
      <w:pPr>
        <w:ind w:left="720"/>
      </w:pPr>
      <w:r>
        <w:t>D) Only that a session took place, with no details about what was discussed, which addresses the immediate concern directly.</w:t>
      </w:r>
    </w:p>
    <w:p>
      <w:r>
        <w:rPr>
          <w:b/>
        </w:rPr>
        <w:t xml:space="preserve">8. </w:t>
      </w:r>
      <w:r>
        <w:t>A peer recovery specialist is working with an individual who reveals they have been selling prescription medications to pay for housing. The individual begs the specialist not to report this because they fear losing their housing assistance. How should the specialist analyze their ethical obligations?</w:t>
      </w:r>
    </w:p>
    <w:p>
      <w:pPr>
        <w:ind w:left="720"/>
      </w:pPr>
      <w:r>
        <w:t>A) Maintain confidentiality since the individual's housing stability is crucial for their recovery</w:t>
      </w:r>
    </w:p>
    <w:p>
      <w:pPr>
        <w:ind w:left="720"/>
      </w:pPr>
      <w:r>
        <w:t>B) Report immediately to law enforcement since illegal drug sales must always be reported</w:t>
      </w:r>
    </w:p>
    <w:p>
      <w:pPr>
        <w:ind w:left="720"/>
      </w:pPr>
      <w:r>
        <w:t>C) Assess whether this constitutes a mandated reporting situation based on state laws and agency policies, while exploring harm reduction options with the individual</w:t>
      </w:r>
    </w:p>
    <w:p>
      <w:pPr>
        <w:ind w:left="720"/>
      </w:pPr>
      <w:r>
        <w:t>D) Consult with the individual's family members about the best course of action</w:t>
      </w:r>
    </w:p>
    <w:p>
      <w:r>
        <w:t>## Mentoring and Education (Items 9–12)</w:t>
      </w:r>
    </w:p>
    <w:p>
      <w:r>
        <w:rPr>
          <w:b/>
        </w:rPr>
        <w:t xml:space="preserve">9. </w:t>
      </w:r>
      <w:r>
        <w:t>What does a person with the CRSS credential serve as?</w:t>
      </w:r>
    </w:p>
    <w:p>
      <w:pPr>
        <w:ind w:left="720"/>
      </w:pPr>
      <w:r>
        <w:t>A) A clinical evaluator who conducts formal diagnostic assessments to determine the appropriate level of treatment services for each individual.</w:t>
      </w:r>
    </w:p>
    <w:p>
      <w:pPr>
        <w:ind w:left="720"/>
      </w:pPr>
      <w:r>
        <w:t>B) A detached observer who maintains emotional distance from individuals served to preserve professional objectivity in all interactions.</w:t>
      </w:r>
    </w:p>
    <w:p>
      <w:pPr>
        <w:ind w:left="720"/>
      </w:pPr>
      <w:r>
        <w:t>C) A compliant team member who follows the treatment team's directions without exercising independent judgment about how to support individuals.</w:t>
      </w:r>
    </w:p>
    <w:p>
      <w:pPr>
        <w:ind w:left="720"/>
      </w:pPr>
      <w:r>
        <w:t>D) A role model of a wellness-focused lifestyle, effective advocacy, professional responsibility, mentoring, and recovery support.</w:t>
      </w:r>
    </w:p>
    <w:p>
      <w:r>
        <w:rPr>
          <w:b/>
        </w:rPr>
        <w:t xml:space="preserve">10. </w:t>
      </w:r>
      <w:r>
        <w:t>A peer recovery specialist observes that their mentee consistently arrives late to support group meetings and appears disengaged. The specialist decides to model punctuality by arriving early and demonstrating active participation. This approach primarily reflects which aspect of social learning theory?</w:t>
      </w:r>
    </w:p>
    <w:p>
      <w:pPr>
        <w:ind w:left="720"/>
      </w:pPr>
      <w:r>
        <w:t>A) Reinforcement schedules determine the likelihood of behavior change</w:t>
      </w:r>
    </w:p>
    <w:p>
      <w:pPr>
        <w:ind w:left="720"/>
      </w:pPr>
      <w:r>
        <w:t>B) Observational learning occurs through watching others' behaviors and consequences</w:t>
      </w:r>
    </w:p>
    <w:p>
      <w:pPr>
        <w:ind w:left="720"/>
      </w:pPr>
      <w:r>
        <w:t>C) Self-efficacy beliefs must be directly challenged through confrontation</w:t>
      </w:r>
    </w:p>
    <w:p>
      <w:pPr>
        <w:ind w:left="720"/>
      </w:pPr>
      <w:r>
        <w:t>D) Environmental factors have no impact on individual behavior patterns</w:t>
      </w:r>
    </w:p>
    <w:p>
      <w:r>
        <w:rPr>
          <w:b/>
        </w:rPr>
        <w:t xml:space="preserve">11. </w:t>
      </w:r>
      <w:r>
        <w:t>An individual asks you for advice on how to talk to their family about their mental health diagnosis for the first time. What is the MOST supportive approach?</w:t>
      </w:r>
    </w:p>
    <w:p>
      <w:pPr>
        <w:ind w:left="720"/>
      </w:pPr>
      <w:r>
        <w:t>A) Warn them that disclosure usually doesn't go well and they should reconsider, which is generally considered the most straightforward approach in this situation.</w:t>
      </w:r>
    </w:p>
    <w:p>
      <w:pPr>
        <w:ind w:left="720"/>
      </w:pPr>
      <w:r>
        <w:t>B) Offer to be present during the conversation to explain the clinical aspects, and document the referral in the individual's record for continuity of care.</w:t>
      </w:r>
    </w:p>
    <w:p>
      <w:pPr>
        <w:ind w:left="720"/>
      </w:pPr>
      <w:r>
        <w:t>C) Tell them exactly what to say to ensure the conversation goes well, because taking a clear position helps individuals make decisions.</w:t>
      </w:r>
    </w:p>
    <w:p>
      <w:pPr>
        <w:ind w:left="720"/>
      </w:pPr>
      <w:r>
        <w:t>D) Help them think through what they want their family to understand, anticipate possible reactions, practice how they might respond, and identify the right time and setting</w:t>
      </w:r>
    </w:p>
    <w:p>
      <w:r>
        <w:rPr>
          <w:b/>
        </w:rPr>
        <w:t xml:space="preserve">12. </w:t>
      </w:r>
      <w:r>
        <w:t>When comparing the roles of Mentor/Guide and Problem Solver, what is the key distinction between these two peer specialist functions?</w:t>
      </w:r>
    </w:p>
    <w:p>
      <w:pPr>
        <w:ind w:left="720"/>
      </w:pPr>
      <w:r>
        <w:t>A) Mentor/Guide provides direction and support while Problem Solver focuses on collaborative solution-finding</w:t>
      </w:r>
    </w:p>
    <w:p>
      <w:pPr>
        <w:ind w:left="720"/>
      </w:pPr>
      <w:r>
        <w:t>B) Mentor/Guide connects to resources while Problem Solver provides encouragement</w:t>
      </w:r>
    </w:p>
    <w:p>
      <w:pPr>
        <w:ind w:left="720"/>
      </w:pPr>
      <w:r>
        <w:t>C) Mentor/Guide gives honest feedback while Problem Solver demonstrates recovery</w:t>
      </w:r>
    </w:p>
    <w:p>
      <w:pPr>
        <w:ind w:left="720"/>
      </w:pPr>
      <w:r>
        <w:t>D) Mentor/Guide motivates change while Problem Solver advocates for rights</w:t>
      </w:r>
    </w:p>
    <w:p>
      <w:r>
        <w:t>## Recovery/Wellness Support (Items 13–16)</w:t>
      </w:r>
    </w:p>
    <w:p>
      <w:r>
        <w:rPr>
          <w:b/>
        </w:rPr>
        <w:t xml:space="preserve">13. </w:t>
      </w:r>
      <w:r>
        <w:t>What does self-direction involve?</w:t>
      </w:r>
    </w:p>
    <w:p>
      <w:pPr>
        <w:ind w:left="720"/>
      </w:pPr>
      <w:r>
        <w:t>A) Following a recovery path determined and directed by the clinical treatment team.</w:t>
      </w:r>
    </w:p>
    <w:p>
      <w:pPr>
        <w:ind w:left="720"/>
      </w:pPr>
      <w:r>
        <w:t>B) Accepting treatment recommendations made by professionals with relevant expertise.</w:t>
      </w:r>
    </w:p>
    <w:p>
      <w:pPr>
        <w:ind w:left="720"/>
      </w:pPr>
      <w:r>
        <w:t>C) Participating in programs and services selected by the individual's assigned case manager.</w:t>
      </w:r>
    </w:p>
    <w:p>
      <w:pPr>
        <w:ind w:left="720"/>
      </w:pPr>
      <w:r>
        <w:t>D) Optimizing autonomy, independence, and control of resources.</w:t>
      </w:r>
    </w:p>
    <w:p>
      <w:r>
        <w:rPr>
          <w:b/>
        </w:rPr>
        <w:t xml:space="preserve">14. </w:t>
      </w:r>
      <w:r>
        <w:t>Why must services for persons with co-occurring disorders be integrated?</w:t>
      </w:r>
    </w:p>
    <w:p>
      <w:pPr>
        <w:ind w:left="720"/>
      </w:pPr>
      <w:r>
        <w:t>A) To ensure mental health conditions are fully treated before addressing substance use.</w:t>
      </w:r>
    </w:p>
    <w:p>
      <w:pPr>
        <w:ind w:left="720"/>
      </w:pPr>
      <w:r>
        <w:t>B) To simplify billing by consolidating services under a single provider and diagnostic code.</w:t>
      </w:r>
    </w:p>
    <w:p>
      <w:pPr>
        <w:ind w:left="720"/>
      </w:pPr>
      <w:r>
        <w:t>C) To reduce the number of professionals involved in an individual's care.</w:t>
      </w:r>
    </w:p>
    <w:p>
      <w:pPr>
        <w:ind w:left="720"/>
      </w:pPr>
      <w:r>
        <w:t>D) To provide comprehensive and effective treatment.</w:t>
      </w:r>
    </w:p>
    <w:p>
      <w:r>
        <w:rPr>
          <w:b/>
        </w:rPr>
        <w:t xml:space="preserve">15. </w:t>
      </w:r>
      <w:r>
        <w:t>What approach should a person with the CRSS credential take?</w:t>
      </w:r>
    </w:p>
    <w:p>
      <w:pPr>
        <w:ind w:left="720"/>
      </w:pPr>
      <w:r>
        <w:t>A) Provide clinical direction and expert recommendations based on training and credentials.</w:t>
      </w:r>
    </w:p>
    <w:p>
      <w:pPr>
        <w:ind w:left="720"/>
      </w:pPr>
      <w:r>
        <w:t>B) Assign structured tasks and monitor completion against the treatment plan objectives.</w:t>
      </w:r>
    </w:p>
    <w:p>
      <w:pPr>
        <w:ind w:left="720"/>
      </w:pPr>
      <w:r>
        <w:t>C) Provide support and encouragement, not definitive answers.</w:t>
      </w:r>
    </w:p>
    <w:p>
      <w:pPr>
        <w:ind w:left="720"/>
      </w:pPr>
      <w:r>
        <w:t>D) Give direct answers to questions based on what has worked for other individuals in similar situations.</w:t>
      </w:r>
    </w:p>
    <w:p>
      <w:r>
        <w:rPr>
          <w:b/>
        </w:rPr>
        <w:t xml:space="preserve">16. </w:t>
      </w:r>
      <w:r>
        <w:t>The problem-solving model used in CRSS practice follows the sequence: define the problem, brainstorm options, evaluate options, choose and act, and review results. The step MOST clients skip is:</w:t>
      </w:r>
    </w:p>
    <w:p>
      <w:pPr>
        <w:ind w:left="720"/>
      </w:pPr>
      <w:r>
        <w:t>A) Reviewing the results after taking action</w:t>
      </w:r>
    </w:p>
    <w:p>
      <w:pPr>
        <w:ind w:left="720"/>
      </w:pPr>
      <w:r>
        <w:t>B) Brainstorming options without judging them</w:t>
      </w:r>
    </w:p>
    <w:p>
      <w:pPr>
        <w:ind w:left="720"/>
      </w:pPr>
      <w:r>
        <w:t>C) Defining the problem</w:t>
      </w:r>
    </w:p>
    <w:p>
      <w:pPr>
        <w:ind w:left="720"/>
      </w:pPr>
      <w:r>
        <w:t>D) All steps are completed equally by most people</w:t>
      </w:r>
    </w:p>
    <w:p>
      <w:r>
        <w:t>## Harm Reduction (Items 17–20)</w:t>
      </w:r>
    </w:p>
    <w:p>
      <w:r>
        <w:rPr>
          <w:b/>
        </w:rPr>
        <w:t xml:space="preserve">17. </w:t>
      </w:r>
      <w:r>
        <w:t>Vivitrol (extended-release naltrexone) is administered as which of the following?</w:t>
      </w:r>
    </w:p>
    <w:p>
      <w:pPr>
        <w:ind w:left="720"/>
      </w:pPr>
      <w:r>
        <w:t>A) A daily sublingual tablet</w:t>
      </w:r>
    </w:p>
    <w:p>
      <w:pPr>
        <w:ind w:left="720"/>
      </w:pPr>
      <w:r>
        <w:t>B) A monthly intramuscular injection</w:t>
      </w:r>
    </w:p>
    <w:p>
      <w:pPr>
        <w:ind w:left="720"/>
      </w:pPr>
      <w:r>
        <w:t>C) A daily oral liquid taken at an OTP</w:t>
      </w:r>
    </w:p>
    <w:p>
      <w:pPr>
        <w:ind w:left="720"/>
      </w:pPr>
      <w:r>
        <w:t>D) A weekly transdermal patch</w:t>
      </w:r>
    </w:p>
    <w:p>
      <w:r>
        <w:rPr>
          <w:b/>
        </w:rPr>
        <w:t xml:space="preserve">18. </w:t>
      </w:r>
      <w:r>
        <w:t>An individual in the Action stage of change who has been reducing their use asks about MOUD options. What does this suggest about their recovery process?</w:t>
      </w:r>
    </w:p>
    <w:p>
      <w:pPr>
        <w:ind w:left="720"/>
      </w:pPr>
      <w:r>
        <w:t>A) They are regressing to an earlier stage of change</w:t>
      </w:r>
    </w:p>
    <w:p>
      <w:pPr>
        <w:ind w:left="720"/>
      </w:pPr>
      <w:r>
        <w:t>B) They are not truly committed to recovery</w:t>
      </w:r>
    </w:p>
    <w:p>
      <w:pPr>
        <w:ind w:left="720"/>
      </w:pPr>
      <w:r>
        <w:t>C) They are making informed choices about additional tools to support their progress</w:t>
      </w:r>
    </w:p>
    <w:p>
      <w:pPr>
        <w:ind w:left="720"/>
      </w:pPr>
      <w:r>
        <w:t>D) They should be discouraged from medication and encouraged to rely on behavioral strategies alone</w:t>
      </w:r>
    </w:p>
    <w:p>
      <w:r>
        <w:rPr>
          <w:b/>
        </w:rPr>
        <w:t xml:space="preserve">19. </w:t>
      </w:r>
      <w:r>
        <w:t>An individual in the Contemplation stage of change expresses interest in reducing their use but says they are not ready to stop completely. The harm reduction strategy that BEST matches their readiness is:</w:t>
      </w:r>
    </w:p>
    <w:p>
      <w:pPr>
        <w:ind w:left="720"/>
      </w:pPr>
      <w:r>
        <w:t>A) Insist on immediate abstinence since they have expressed interest in change</w:t>
      </w:r>
    </w:p>
    <w:p>
      <w:pPr>
        <w:ind w:left="720"/>
      </w:pPr>
      <w:r>
        <w:t>B) Wait until they reach the Action stage before offering any harm reduction support</w:t>
      </w:r>
    </w:p>
    <w:p>
      <w:pPr>
        <w:ind w:left="720"/>
      </w:pPr>
      <w:r>
        <w:t>C) Explore incremental reduction goals they feel comfortable with while providing safety information for continued use</w:t>
      </w:r>
    </w:p>
    <w:p>
      <w:pPr>
        <w:ind w:left="720"/>
      </w:pPr>
      <w:r>
        <w:t>D) Refer them to a residential treatment program since contemplation indicates readiness for intensive services</w:t>
      </w:r>
    </w:p>
    <w:p>
      <w:r>
        <w:rPr>
          <w:b/>
        </w:rPr>
        <w:t xml:space="preserve">20. </w:t>
      </w:r>
      <w:r>
        <w:t>An individual says they always use more on payday and then experience withdrawal symptoms by mid-month. The harm reduction conversation should explore:</w:t>
      </w:r>
    </w:p>
    <w:p>
      <w:pPr>
        <w:ind w:left="720"/>
      </w:pPr>
      <w:r>
        <w:t>A) Budgeting strategies that separate money for substances from money for essentials, safer use during high-use periods, and what the cycle costs them</w:t>
      </w:r>
    </w:p>
    <w:p>
      <w:pPr>
        <w:ind w:left="720"/>
      </w:pPr>
      <w:r>
        <w:t>B) Why they cannot simply stop using on payday through willpower alone</w:t>
      </w:r>
    </w:p>
    <w:p>
      <w:pPr>
        <w:ind w:left="720"/>
      </w:pPr>
      <w:r>
        <w:t>C) Whether they should have their paychecks deposited into someone else's account to prevent access</w:t>
      </w:r>
    </w:p>
    <w:p>
      <w:pPr>
        <w:ind w:left="720"/>
      </w:pPr>
      <w:r>
        <w:t>D) Only the withdrawal symptoms, since the pattern itself is not relevant to harm reduction</w:t>
      </w:r>
    </w:p>
    <w:p>
      <w:r>
        <w:rPr>
          <w:color w:val="B4B4B4"/>
        </w:rPr>
        <w:t>────────────────────────────────────────────────────────────</w:t>
      </w:r>
    </w:p>
    <w:p>
      <w:r>
        <w:t>## Scoring Guide</w:t>
      </w:r>
    </w:p>
    <w:tbl>
      <w:tblPr>
        <w:tblStyle w:val="TableGrid"/>
        <w:tblW w:type="auto" w:w="0"/>
        <w:tblLook w:firstColumn="1" w:firstRow="1" w:lastColumn="0" w:lastRow="0" w:noHBand="0" w:noVBand="1" w:val="04A0"/>
      </w:tblPr>
      <w:tblGrid>
        <w:gridCol w:w="2880"/>
        <w:gridCol w:w="2880"/>
        <w:gridCol w:w="2880"/>
      </w:tblGrid>
      <w:tr>
        <w:tc>
          <w:tcPr>
            <w:tcW w:type="dxa" w:w="2880"/>
          </w:tcPr>
          <w:p>
            <w:r>
              <w:t>Domain</w:t>
            </w:r>
          </w:p>
        </w:tc>
        <w:tc>
          <w:tcPr>
            <w:tcW w:type="dxa" w:w="2880"/>
          </w:tcPr>
          <w:p>
            <w:r>
              <w:t>Items</w:t>
            </w:r>
          </w:p>
        </w:tc>
        <w:tc>
          <w:tcPr>
            <w:tcW w:type="dxa" w:w="2880"/>
          </w:tcPr>
          <w:p>
            <w:r>
              <w:t>Score</w:t>
            </w:r>
          </w:p>
        </w:tc>
      </w:tr>
      <w:tr>
        <w:tc>
          <w:tcPr>
            <w:tcW w:type="dxa" w:w="2880"/>
          </w:tcPr>
          <w:p>
            <w:r>
              <w:t>Advocacy (ADV)</w:t>
            </w:r>
          </w:p>
        </w:tc>
        <w:tc>
          <w:tcPr>
            <w:tcW w:type="dxa" w:w="2880"/>
          </w:tcPr>
          <w:p>
            <w:r>
              <w:t>1–4</w:t>
            </w:r>
          </w:p>
        </w:tc>
        <w:tc>
          <w:tcPr>
            <w:tcW w:type="dxa" w:w="2880"/>
          </w:tcPr>
          <w:p>
            <w:r>
              <w:t>__/4</w:t>
            </w:r>
          </w:p>
        </w:tc>
      </w:tr>
      <w:tr>
        <w:tc>
          <w:tcPr>
            <w:tcW w:type="dxa" w:w="2880"/>
          </w:tcPr>
          <w:p>
            <w:r>
              <w:t>Ethical Responsibility (ETH)</w:t>
            </w:r>
          </w:p>
        </w:tc>
        <w:tc>
          <w:tcPr>
            <w:tcW w:type="dxa" w:w="2880"/>
          </w:tcPr>
          <w:p>
            <w:r>
              <w:t>5–8</w:t>
            </w:r>
          </w:p>
        </w:tc>
        <w:tc>
          <w:tcPr>
            <w:tcW w:type="dxa" w:w="2880"/>
          </w:tcPr>
          <w:p>
            <w:r>
              <w:t>__/4</w:t>
            </w:r>
          </w:p>
        </w:tc>
      </w:tr>
      <w:tr>
        <w:tc>
          <w:tcPr>
            <w:tcW w:type="dxa" w:w="2880"/>
          </w:tcPr>
          <w:p>
            <w:r>
              <w:t>Mentoring and Education (MEN)</w:t>
            </w:r>
          </w:p>
        </w:tc>
        <w:tc>
          <w:tcPr>
            <w:tcW w:type="dxa" w:w="2880"/>
          </w:tcPr>
          <w:p>
            <w:r>
              <w:t>9–12</w:t>
            </w:r>
          </w:p>
        </w:tc>
        <w:tc>
          <w:tcPr>
            <w:tcW w:type="dxa" w:w="2880"/>
          </w:tcPr>
          <w:p>
            <w:r>
              <w:t>__/4</w:t>
            </w:r>
          </w:p>
        </w:tc>
      </w:tr>
      <w:tr>
        <w:tc>
          <w:tcPr>
            <w:tcW w:type="dxa" w:w="2880"/>
          </w:tcPr>
          <w:p>
            <w:r>
              <w:t>Recovery/Wellness Support (REC)</w:t>
            </w:r>
          </w:p>
        </w:tc>
        <w:tc>
          <w:tcPr>
            <w:tcW w:type="dxa" w:w="2880"/>
          </w:tcPr>
          <w:p>
            <w:r>
              <w:t>13–16</w:t>
            </w:r>
          </w:p>
        </w:tc>
        <w:tc>
          <w:tcPr>
            <w:tcW w:type="dxa" w:w="2880"/>
          </w:tcPr>
          <w:p>
            <w:r>
              <w:t>__/4</w:t>
            </w:r>
          </w:p>
        </w:tc>
      </w:tr>
      <w:tr>
        <w:tc>
          <w:tcPr>
            <w:tcW w:type="dxa" w:w="2880"/>
          </w:tcPr>
          <w:p>
            <w:r>
              <w:t>Harm Reduction (HR)</w:t>
            </w:r>
          </w:p>
        </w:tc>
        <w:tc>
          <w:tcPr>
            <w:tcW w:type="dxa" w:w="2880"/>
          </w:tcPr>
          <w:p>
            <w:r>
              <w:t>17–20</w:t>
            </w:r>
          </w:p>
        </w:tc>
        <w:tc>
          <w:tcPr>
            <w:tcW w:type="dxa" w:w="2880"/>
          </w:tcPr>
          <w:p>
            <w:r>
              <w:t>__/4</w:t>
            </w:r>
          </w:p>
        </w:tc>
      </w:tr>
      <w:tr>
        <w:tc>
          <w:tcPr>
            <w:tcW w:type="dxa" w:w="2880"/>
          </w:tcPr>
          <w:p>
            <w:r>
              <w:t>Total</w:t>
            </w:r>
          </w:p>
        </w:tc>
        <w:tc>
          <w:tcPr>
            <w:tcW w:type="dxa" w:w="2880"/>
          </w:tcPr>
          <w:p>
            <w:r>
              <w:t>1–20</w:t>
            </w:r>
          </w:p>
        </w:tc>
        <w:tc>
          <w:tcPr>
            <w:tcW w:type="dxa" w:w="2880"/>
          </w:tcPr>
          <w:p>
            <w:r>
              <w:t>__/20</w:t>
            </w:r>
          </w:p>
        </w:tc>
      </w:tr>
    </w:tbl>
    <w:p>
      <w:r>
        <w:rPr>
          <w:i/>
          <w:color w:val="646464"/>
          <w:sz w:val="20"/>
        </w:rPr>
        <w:t>Domains scoring 2/4 or below need priority attention during the course.</w:t>
      </w:r>
    </w:p>
    <w:p>
      <w:r>
        <w:rPr>
          <w:color w:val="B4B4B4"/>
        </w:rPr>
        <w:t>────────────────────────────────────────────────────────────</w:t>
      </w:r>
    </w:p>
    <w:p>
      <w:r>
        <w:t>## Answer Key</w:t>
      </w:r>
    </w:p>
    <w:p>
      <w:r>
        <w:t>1. C</w:t>
      </w:r>
    </w:p>
    <w:p>
      <w:r>
        <w:t>2. A</w:t>
      </w:r>
    </w:p>
    <w:p>
      <w:r>
        <w:t>3. D</w:t>
      </w:r>
    </w:p>
    <w:p>
      <w:r>
        <w:t>4. B</w:t>
      </w:r>
    </w:p>
    <w:p>
      <w:r>
        <w:t>5. D</w:t>
      </w:r>
    </w:p>
    <w:p>
      <w:r>
        <w:t>6. B</w:t>
      </w:r>
    </w:p>
    <w:p>
      <w:r>
        <w:t>7. C</w:t>
      </w:r>
    </w:p>
    <w:p>
      <w:r>
        <w:t>8. C</w:t>
      </w:r>
    </w:p>
    <w:p>
      <w:r>
        <w:t>9. D</w:t>
      </w:r>
    </w:p>
    <w:p>
      <w:r>
        <w:t>10. B</w:t>
      </w:r>
    </w:p>
    <w:p>
      <w:r>
        <w:t>11. D</w:t>
      </w:r>
    </w:p>
    <w:p>
      <w:r>
        <w:t>12. A</w:t>
      </w:r>
    </w:p>
    <w:p>
      <w:r>
        <w:t>13. D</w:t>
      </w:r>
    </w:p>
    <w:p>
      <w:r>
        <w:t>14. D</w:t>
      </w:r>
    </w:p>
    <w:p>
      <w:r>
        <w:t>15. C</w:t>
      </w:r>
    </w:p>
    <w:p>
      <w:r>
        <w:t>16. A</w:t>
      </w:r>
    </w:p>
    <w:p>
      <w:r>
        <w:t>17. B</w:t>
      </w:r>
    </w:p>
    <w:p>
      <w:r>
        <w:t>18. C</w:t>
      </w:r>
    </w:p>
    <w:p>
      <w:r>
        <w:t>19. C</w:t>
      </w:r>
    </w:p>
    <w:p>
      <w:r>
        <w:t>20. 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